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482" w:after="198"/>
        <w:jc w:val="center"/>
        <w:rPr>
          <w:rFonts w:ascii="Liberation Sans" w:hAnsi="Liberation Sans" w:eastAsia="Noto Sans CJK SC" w:cs="Lohit Devanagari"/>
          <w:b/>
          <w:b/>
          <w:bCs/>
          <w:sz w:val="36"/>
          <w:szCs w:val="36"/>
        </w:rPr>
      </w:pPr>
      <w:r>
        <w:rPr/>
        <w:t>Gebührenordnung der Starship Factory</w:t>
      </w:r>
    </w:p>
    <w:p>
      <w:pPr>
        <w:pStyle w:val="Textkrper"/>
        <w:rPr/>
      </w:pPr>
      <w:r>
        <w:rPr/>
      </w:r>
    </w:p>
    <w:p>
      <w:pPr>
        <w:sectPr>
          <w:footerReference w:type="default" r:id="rId2"/>
          <w:type w:val="nextPage"/>
          <w:pgSz w:w="11906" w:h="16838"/>
          <w:pgMar w:left="720" w:right="720" w:header="0" w:top="425" w:footer="709" w:bottom="1176" w:gutter="0"/>
          <w:pgNumType w:fmt="decimal"/>
          <w:formProt w:val="false"/>
          <w:textDirection w:val="lrTb"/>
          <w:docGrid w:type="default" w:linePitch="360" w:charSpace="0"/>
        </w:sectPr>
      </w:pPr>
    </w:p>
    <w:p>
      <w:pPr>
        <w:pStyle w:val="Berschrift2"/>
        <w:numPr>
          <w:ilvl w:val="1"/>
          <w:numId w:val="2"/>
        </w:numPr>
        <w:rPr>
          <w:rFonts w:ascii="Liberation Sans" w:hAnsi="Liberation Sans" w:eastAsia="Noto Sans CJK SC" w:cs="Lohit Devanagari"/>
          <w:b/>
          <w:b/>
          <w:bCs/>
          <w:sz w:val="32"/>
          <w:szCs w:val="32"/>
        </w:rPr>
      </w:pPr>
      <w:r>
        <w:rPr/>
        <w:t>Maschinen und Materialien</w:t>
      </w:r>
    </w:p>
    <w:p>
      <w:pPr>
        <w:pStyle w:val="Textkrper"/>
        <w:spacing w:lineRule="auto" w:line="276" w:before="0" w:after="140"/>
        <w:jc w:val="left"/>
        <w:rPr/>
      </w:pPr>
      <w:r>
        <w:rPr/>
        <w:t xml:space="preserve">Die Starship Factory erhebt für die Nutzung ihrer Maschinen </w:t>
      </w:r>
      <w:r>
        <w:rPr>
          <w:sz w:val="22"/>
        </w:rPr>
        <w:t>G</w:t>
      </w:r>
      <w:r>
        <w:rPr/>
        <w:t xml:space="preserve">ebühren. Die Gebühren dienen dem Erhalt der Maschinen, der Deckung von laufenden Kosten sowie der Bildung von Rücklagen für Neuinvestitionen. </w:t>
      </w:r>
    </w:p>
    <w:p>
      <w:pPr>
        <w:pStyle w:val="Textkrper"/>
        <w:spacing w:lineRule="auto" w:line="276" w:before="0" w:after="140"/>
        <w:jc w:val="left"/>
        <w:rPr/>
      </w:pPr>
      <w:r>
        <w:rPr/>
        <w:t>Die Nutzungsgebühren werden entsprechend der Nutzungszeit berechnet. Als Nutzungszeit gilt die Zeit, in welcher das Gerät anderen potenziellen Nutzern nicht zur Verfügung steht.</w:t>
      </w:r>
    </w:p>
    <w:p>
      <w:pPr>
        <w:pStyle w:val="Textkrper"/>
        <w:spacing w:lineRule="auto" w:line="276" w:before="0" w:after="140"/>
        <w:jc w:val="left"/>
        <w:rPr/>
      </w:pPr>
      <w:r>
        <w:rPr/>
        <w:t>Die Nutzungszeit wird in Stunden erhoben. Angebrochene Stunden werden aufgerundet. Es gelten gestaffelte Sätze für die Nutzung durch Mitglieder, die private Nutzung durch Nichtmitglieder sowie die gewerbliche Nutzung.</w:t>
      </w:r>
    </w:p>
    <w:p>
      <w:pPr>
        <w:pStyle w:val="Textkrper"/>
        <w:jc w:val="left"/>
        <w:rPr/>
      </w:pPr>
      <w:r>
        <w:rPr/>
        <w:t xml:space="preserve">Es gelten die Gebührensätze am Ende dieses Aushangs. Diese wurden letztmalig im Plenum vom 6. April 2021 festgelegt. </w:t>
      </w:r>
    </w:p>
    <w:p>
      <w:pPr>
        <w:pStyle w:val="Berschrift2"/>
        <w:numPr>
          <w:ilvl w:val="1"/>
          <w:numId w:val="2"/>
        </w:numPr>
        <w:jc w:val="left"/>
        <w:rPr/>
      </w:pPr>
      <w:r>
        <w:rPr/>
        <w:t>Materialien</w:t>
      </w:r>
    </w:p>
    <w:p>
      <w:pPr>
        <w:pStyle w:val="Textkrper"/>
        <w:jc w:val="left"/>
        <w:rPr/>
      </w:pPr>
      <w:r>
        <w:rPr>
          <w:sz w:val="22"/>
        </w:rPr>
        <w:t xml:space="preserve">Die </w:t>
      </w:r>
      <w:r>
        <w:rPr/>
        <w:t xml:space="preserve">Starship Factory hält gängige Verbrauchsmaterialien vor und stellt diese gegen einen  geringen Aufpreis zur Verfügung. Die aktuellen Preise für die Verbrauchsmaterialien </w:t>
      </w:r>
      <w:r>
        <w:rPr>
          <w:sz w:val="22"/>
        </w:rPr>
        <w:t>sind</w:t>
      </w:r>
      <w:r>
        <w:rPr/>
        <w:t xml:space="preserve"> im Wiki (</w:t>
      </w:r>
      <w:r>
        <w:rPr>
          <w:b/>
          <w:color w:val="0070C0"/>
        </w:rPr>
        <w:t>https://wiki.starship-factory.ch</w:t>
      </w:r>
      <w:r>
        <w:rPr/>
        <w:t>) dokumentiert.</w:t>
      </w:r>
    </w:p>
    <w:p>
      <w:pPr>
        <w:pStyle w:val="Berschrift2"/>
        <w:numPr>
          <w:ilvl w:val="1"/>
          <w:numId w:val="2"/>
        </w:numPr>
        <w:jc w:val="left"/>
        <w:rPr/>
      </w:pPr>
      <w:r>
        <w:rPr/>
        <w:t>Bezahlung</w:t>
      </w:r>
    </w:p>
    <w:p>
      <w:pPr>
        <w:pStyle w:val="Textkrper"/>
        <w:spacing w:lineRule="auto" w:line="276" w:before="0" w:after="140"/>
        <w:jc w:val="left"/>
        <w:rPr/>
      </w:pPr>
      <w:r>
        <w:rPr/>
        <w:t>Die Kosten für die Maschinennutzung bzw. den Erwerb von Materialien sind mittels Überweisung, Twint, Paypal oder jedem anderen von der Starship Factory angebotenen Zahlungsmittel unmittelbar im Anschluss an die Nutzung bzw. Entnahme zu entrichten.</w:t>
      </w:r>
    </w:p>
    <w:p>
      <w:pPr>
        <w:pStyle w:val="Textkrper"/>
        <w:spacing w:lineRule="auto" w:line="276" w:before="0" w:after="140"/>
        <w:jc w:val="left"/>
        <w:rPr/>
      </w:pPr>
      <w:r>
        <w:rPr/>
        <w:t>Es gilt das Vertrauensprinzip. Bitte seid fair und entrichtet die festgelegten Preise/Gebühren. Die Starship Factory ist auf die Einnahmen zur Erhaltung eines attraktiven Maschinenparks und der Bereitstellung von Materialien angewiesen.</w:t>
      </w:r>
    </w:p>
    <w:p>
      <w:pPr>
        <w:pStyle w:val="Textkrper"/>
        <w:spacing w:lineRule="auto" w:line="276" w:before="0" w:after="140"/>
        <w:jc w:val="left"/>
        <w:rPr/>
      </w:pPr>
      <w:r>
        <w:rPr/>
        <w:t>Die Nutzungsgebühren sind auch dann zu entrichten, wenn das Ergebnis nicht gefällt. Hiervon ausgenommen sind Fehlschläge, welche durch Maschinendefekte bedingt wurden, die die nutzende Person nicht zu verantworten hat.</w:t>
      </w:r>
    </w:p>
    <w:p>
      <w:pPr>
        <w:sectPr>
          <w:type w:val="continuous"/>
          <w:pgSz w:w="11906" w:h="16838"/>
          <w:pgMar w:left="720" w:right="720" w:header="0" w:top="425" w:footer="709" w:bottom="1176" w:gutter="0"/>
          <w:cols w:num="2" w:space="566" w:equalWidth="true" w:sep="false"/>
          <w:formProt w:val="false"/>
          <w:textDirection w:val="lrTb"/>
          <w:docGrid w:type="default" w:linePitch="360" w:charSpace="0"/>
        </w:sectPr>
      </w:pPr>
    </w:p>
    <w:p>
      <w:pPr>
        <w:pStyle w:val="Normal"/>
        <w:jc w:val="left"/>
        <w:rPr/>
      </w:pPr>
      <w:r>
        <w:rPr/>
      </w:r>
    </w:p>
    <w:p>
      <w:pPr>
        <w:pStyle w:val="Normal"/>
        <w:jc w:val="left"/>
        <w:rPr/>
      </w:pPr>
      <w:r>
        <w:rPr/>
      </w:r>
    </w:p>
    <w:tbl>
      <w:tblPr>
        <w:tblW w:w="10428" w:type="dxa"/>
        <w:jc w:val="left"/>
        <w:tblInd w:w="28" w:type="dxa"/>
        <w:tblCellMar>
          <w:top w:w="28" w:type="dxa"/>
          <w:left w:w="28" w:type="dxa"/>
          <w:bottom w:w="28" w:type="dxa"/>
          <w:right w:w="28" w:type="dxa"/>
        </w:tblCellMar>
        <w:tblLook w:val="04a0" w:noHBand="0" w:noVBand="1" w:firstColumn="1" w:lastRow="0" w:lastColumn="0" w:firstRow="1"/>
      </w:tblPr>
      <w:tblGrid>
        <w:gridCol w:w="3120"/>
        <w:gridCol w:w="2496"/>
        <w:gridCol w:w="2316"/>
        <w:gridCol w:w="2328"/>
        <w:gridCol w:w="168"/>
      </w:tblGrid>
      <w:tr>
        <w:trPr>
          <w:tblHeader w:val="true"/>
        </w:trPr>
        <w:tc>
          <w:tcPr>
            <w:tcW w:w="3120" w:type="dxa"/>
            <w:tcBorders/>
            <w:vAlign w:val="center"/>
          </w:tcPr>
          <w:p>
            <w:pPr>
              <w:pStyle w:val="Tabellenberschrift"/>
              <w:jc w:val="left"/>
              <w:rPr>
                <w:sz w:val="22"/>
              </w:rPr>
            </w:pPr>
            <w:r>
              <w:rPr>
                <w:sz w:val="22"/>
              </w:rPr>
              <w:t>Maschine</w:t>
            </w:r>
          </w:p>
        </w:tc>
        <w:tc>
          <w:tcPr>
            <w:tcW w:w="2496" w:type="dxa"/>
            <w:tcBorders/>
            <w:vAlign w:val="center"/>
          </w:tcPr>
          <w:p>
            <w:pPr>
              <w:pStyle w:val="Tabellenberschrift"/>
              <w:jc w:val="left"/>
              <w:rPr>
                <w:sz w:val="22"/>
              </w:rPr>
            </w:pPr>
            <w:r>
              <w:rPr>
                <w:sz w:val="22"/>
              </w:rPr>
              <w:t>Nutzung Mitglieder</w:t>
            </w:r>
          </w:p>
        </w:tc>
        <w:tc>
          <w:tcPr>
            <w:tcW w:w="2316" w:type="dxa"/>
            <w:tcBorders/>
            <w:vAlign w:val="center"/>
          </w:tcPr>
          <w:p>
            <w:pPr>
              <w:pStyle w:val="Tabellenberschrift"/>
              <w:jc w:val="left"/>
              <w:rPr>
                <w:sz w:val="22"/>
              </w:rPr>
            </w:pPr>
            <w:r>
              <w:rPr>
                <w:sz w:val="22"/>
              </w:rPr>
              <w:t>Private Nutzung Nichtmitglieder</w:t>
            </w:r>
          </w:p>
        </w:tc>
        <w:tc>
          <w:tcPr>
            <w:tcW w:w="2328" w:type="dxa"/>
            <w:tcBorders/>
            <w:vAlign w:val="center"/>
          </w:tcPr>
          <w:p>
            <w:pPr>
              <w:pStyle w:val="Tabellenberschrift"/>
              <w:jc w:val="left"/>
              <w:rPr>
                <w:sz w:val="22"/>
              </w:rPr>
            </w:pPr>
            <w:r>
              <w:rPr>
                <w:sz w:val="22"/>
              </w:rPr>
              <w:t>Gewerbliche Nutzung</w:t>
            </w:r>
          </w:p>
          <w:p>
            <w:pPr>
              <w:pStyle w:val="Tabellenberschrift"/>
              <w:jc w:val="left"/>
              <w:rPr>
                <w:sz w:val="22"/>
              </w:rPr>
            </w:pPr>
            <w:r>
              <w:rPr>
                <w:sz w:val="22"/>
              </w:rPr>
              <w:t>Nichtmitglieder</w:t>
            </w:r>
          </w:p>
        </w:tc>
        <w:tc>
          <w:tcPr>
            <w:tcW w:w="168" w:type="dxa"/>
            <w:tcBorders/>
          </w:tcPr>
          <w:p>
            <w:pPr>
              <w:pStyle w:val="Tabelleninhalt"/>
              <w:jc w:val="left"/>
              <w:rPr>
                <w:sz w:val="4"/>
                <w:szCs w:val="4"/>
              </w:rPr>
            </w:pPr>
            <w:r>
              <w:rPr>
                <w:sz w:val="4"/>
                <w:szCs w:val="4"/>
              </w:rPr>
            </w:r>
          </w:p>
        </w:tc>
      </w:tr>
      <w:tr>
        <w:trPr/>
        <w:tc>
          <w:tcPr>
            <w:tcW w:w="10428" w:type="dxa"/>
            <w:gridSpan w:val="5"/>
            <w:tcBorders/>
            <w:vAlign w:val="center"/>
          </w:tcPr>
          <w:p>
            <w:pPr>
              <w:pStyle w:val="Tabelleninhalt"/>
              <w:suppressLineNumbers/>
              <w:jc w:val="left"/>
              <w:rPr>
                <w:sz w:val="22"/>
              </w:rPr>
            </w:pPr>
            <w:r>
              <w:rPr>
                <w:rStyle w:val="Starkbetont"/>
                <w:sz w:val="22"/>
              </w:rPr>
              <w:t>3D-Druck</w:t>
            </w:r>
          </w:p>
        </w:tc>
      </w:tr>
      <w:tr>
        <w:trPr/>
        <w:tc>
          <w:tcPr>
            <w:tcW w:w="3120" w:type="dxa"/>
            <w:tcBorders/>
            <w:vAlign w:val="center"/>
          </w:tcPr>
          <w:p>
            <w:pPr>
              <w:pStyle w:val="Tabelleninhalt"/>
              <w:suppressLineNumbers/>
              <w:jc w:val="left"/>
              <w:rPr>
                <w:sz w:val="22"/>
              </w:rPr>
            </w:pPr>
            <w:r>
              <w:rPr>
                <w:sz w:val="22"/>
              </w:rPr>
              <w:t>TLD inkl. Filament</w:t>
            </w:r>
          </w:p>
        </w:tc>
        <w:tc>
          <w:tcPr>
            <w:tcW w:w="2496" w:type="dxa"/>
            <w:tcBorders/>
            <w:vAlign w:val="center"/>
          </w:tcPr>
          <w:p>
            <w:pPr>
              <w:pStyle w:val="Tabelleninhalt"/>
              <w:suppressLineNumbers/>
              <w:jc w:val="left"/>
              <w:rPr>
                <w:sz w:val="22"/>
              </w:rPr>
            </w:pPr>
            <w:r>
              <w:rPr>
                <w:sz w:val="22"/>
              </w:rPr>
              <w:t>1.50 CHF/h</w:t>
            </w:r>
          </w:p>
        </w:tc>
        <w:tc>
          <w:tcPr>
            <w:tcW w:w="2316" w:type="dxa"/>
            <w:tcBorders/>
            <w:vAlign w:val="center"/>
          </w:tcPr>
          <w:p>
            <w:pPr>
              <w:pStyle w:val="Tabelleninhalt"/>
              <w:suppressLineNumbers/>
              <w:jc w:val="left"/>
              <w:rPr>
                <w:sz w:val="22"/>
              </w:rPr>
            </w:pPr>
            <w:r>
              <w:rPr>
                <w:sz w:val="22"/>
              </w:rPr>
              <w:t>2.00 CHF/h</w:t>
            </w:r>
          </w:p>
        </w:tc>
        <w:tc>
          <w:tcPr>
            <w:tcW w:w="2328" w:type="dxa"/>
            <w:tcBorders/>
            <w:vAlign w:val="center"/>
          </w:tcPr>
          <w:p>
            <w:pPr>
              <w:pStyle w:val="Tabelleninhalt"/>
              <w:suppressLineNumbers/>
              <w:jc w:val="left"/>
              <w:rPr>
                <w:sz w:val="22"/>
              </w:rPr>
            </w:pPr>
            <w:r>
              <w:rPr>
                <w:sz w:val="22"/>
              </w:rPr>
              <w:t>3.00 CHF/h</w:t>
            </w:r>
          </w:p>
        </w:tc>
        <w:tc>
          <w:tcPr>
            <w:tcW w:w="168" w:type="dxa"/>
            <w:tcBorders/>
          </w:tcPr>
          <w:p>
            <w:pPr>
              <w:pStyle w:val="Tabelleninhalt"/>
              <w:jc w:val="left"/>
              <w:rPr>
                <w:sz w:val="4"/>
                <w:szCs w:val="4"/>
              </w:rPr>
            </w:pPr>
            <w:r>
              <w:rPr>
                <w:sz w:val="4"/>
                <w:szCs w:val="4"/>
              </w:rPr>
            </w:r>
          </w:p>
        </w:tc>
      </w:tr>
      <w:tr>
        <w:trPr/>
        <w:tc>
          <w:tcPr>
            <w:tcW w:w="3120" w:type="dxa"/>
            <w:tcBorders/>
            <w:vAlign w:val="center"/>
          </w:tcPr>
          <w:p>
            <w:pPr>
              <w:pStyle w:val="Tabelleninhalt"/>
              <w:suppressLineNumbers/>
              <w:jc w:val="left"/>
              <w:rPr>
                <w:sz w:val="22"/>
              </w:rPr>
            </w:pPr>
            <w:r>
              <w:rPr>
                <w:sz w:val="22"/>
              </w:rPr>
              <w:t>TLD ohne Filament</w:t>
            </w:r>
          </w:p>
        </w:tc>
        <w:tc>
          <w:tcPr>
            <w:tcW w:w="2496" w:type="dxa"/>
            <w:tcBorders/>
            <w:vAlign w:val="center"/>
          </w:tcPr>
          <w:p>
            <w:pPr>
              <w:pStyle w:val="Tabelleninhalt"/>
              <w:suppressLineNumbers/>
              <w:jc w:val="left"/>
              <w:rPr>
                <w:sz w:val="22"/>
              </w:rPr>
            </w:pPr>
            <w:r>
              <w:rPr>
                <w:sz w:val="22"/>
              </w:rPr>
              <w:t>1.35 CHF/h</w:t>
            </w:r>
          </w:p>
        </w:tc>
        <w:tc>
          <w:tcPr>
            <w:tcW w:w="2316" w:type="dxa"/>
            <w:tcBorders/>
            <w:vAlign w:val="center"/>
          </w:tcPr>
          <w:p>
            <w:pPr>
              <w:pStyle w:val="Tabelleninhalt"/>
              <w:suppressLineNumbers/>
              <w:jc w:val="left"/>
              <w:rPr>
                <w:sz w:val="22"/>
              </w:rPr>
            </w:pPr>
            <w:r>
              <w:rPr>
                <w:sz w:val="22"/>
              </w:rPr>
              <w:t>1.85 CHF/h</w:t>
            </w:r>
          </w:p>
        </w:tc>
        <w:tc>
          <w:tcPr>
            <w:tcW w:w="2328" w:type="dxa"/>
            <w:tcBorders/>
            <w:vAlign w:val="center"/>
          </w:tcPr>
          <w:p>
            <w:pPr>
              <w:pStyle w:val="Tabelleninhalt"/>
              <w:suppressLineNumbers/>
              <w:jc w:val="left"/>
              <w:rPr>
                <w:sz w:val="22"/>
              </w:rPr>
            </w:pPr>
            <w:r>
              <w:rPr>
                <w:sz w:val="22"/>
              </w:rPr>
              <w:t>2.85 CHF/h</w:t>
            </w:r>
          </w:p>
        </w:tc>
        <w:tc>
          <w:tcPr>
            <w:tcW w:w="168" w:type="dxa"/>
            <w:tcBorders/>
          </w:tcPr>
          <w:p>
            <w:pPr>
              <w:pStyle w:val="Tabelleninhalt"/>
              <w:jc w:val="left"/>
              <w:rPr>
                <w:sz w:val="4"/>
                <w:szCs w:val="4"/>
              </w:rPr>
            </w:pPr>
            <w:r>
              <w:rPr>
                <w:sz w:val="4"/>
                <w:szCs w:val="4"/>
              </w:rPr>
            </w:r>
          </w:p>
        </w:tc>
      </w:tr>
      <w:tr>
        <w:trPr/>
        <w:tc>
          <w:tcPr>
            <w:tcW w:w="3120" w:type="dxa"/>
            <w:tcBorders/>
            <w:vAlign w:val="center"/>
          </w:tcPr>
          <w:p>
            <w:pPr>
              <w:pStyle w:val="Tabelleninhalt"/>
              <w:suppressLineNumbers/>
              <w:jc w:val="left"/>
              <w:rPr>
                <w:sz w:val="22"/>
              </w:rPr>
            </w:pPr>
            <w:r>
              <w:rPr>
                <w:sz w:val="22"/>
              </w:rPr>
              <w:t>MSLA inkl. Harz</w:t>
            </w:r>
          </w:p>
        </w:tc>
        <w:tc>
          <w:tcPr>
            <w:tcW w:w="2496" w:type="dxa"/>
            <w:tcBorders/>
            <w:vAlign w:val="center"/>
          </w:tcPr>
          <w:p>
            <w:pPr>
              <w:pStyle w:val="Tabelleninhalt"/>
              <w:suppressLineNumbers/>
              <w:jc w:val="left"/>
              <w:rPr>
                <w:sz w:val="22"/>
              </w:rPr>
            </w:pPr>
            <w:r>
              <w:rPr>
                <w:sz w:val="22"/>
              </w:rPr>
              <w:t>1.50 CHF/h</w:t>
            </w:r>
          </w:p>
        </w:tc>
        <w:tc>
          <w:tcPr>
            <w:tcW w:w="2316" w:type="dxa"/>
            <w:tcBorders/>
            <w:vAlign w:val="center"/>
          </w:tcPr>
          <w:p>
            <w:pPr>
              <w:pStyle w:val="Tabelleninhalt"/>
              <w:suppressLineNumbers/>
              <w:jc w:val="left"/>
              <w:rPr>
                <w:sz w:val="22"/>
              </w:rPr>
            </w:pPr>
            <w:r>
              <w:rPr>
                <w:sz w:val="22"/>
              </w:rPr>
              <w:t>2.00 CHF/h</w:t>
            </w:r>
          </w:p>
        </w:tc>
        <w:tc>
          <w:tcPr>
            <w:tcW w:w="2328" w:type="dxa"/>
            <w:tcBorders/>
            <w:vAlign w:val="center"/>
          </w:tcPr>
          <w:p>
            <w:pPr>
              <w:pStyle w:val="Tabelleninhalt"/>
              <w:suppressLineNumbers/>
              <w:jc w:val="left"/>
              <w:rPr>
                <w:sz w:val="22"/>
              </w:rPr>
            </w:pPr>
            <w:r>
              <w:rPr>
                <w:sz w:val="22"/>
              </w:rPr>
              <w:t>3.00 CHF/h</w:t>
            </w:r>
          </w:p>
        </w:tc>
        <w:tc>
          <w:tcPr>
            <w:tcW w:w="168" w:type="dxa"/>
            <w:tcBorders/>
          </w:tcPr>
          <w:p>
            <w:pPr>
              <w:pStyle w:val="Tabelleninhalt"/>
              <w:jc w:val="left"/>
              <w:rPr>
                <w:sz w:val="4"/>
                <w:szCs w:val="4"/>
              </w:rPr>
            </w:pPr>
            <w:r>
              <w:rPr>
                <w:sz w:val="4"/>
                <w:szCs w:val="4"/>
              </w:rPr>
            </w:r>
          </w:p>
        </w:tc>
      </w:tr>
      <w:tr>
        <w:trPr/>
        <w:tc>
          <w:tcPr>
            <w:tcW w:w="3120" w:type="dxa"/>
            <w:tcBorders/>
            <w:vAlign w:val="center"/>
          </w:tcPr>
          <w:p>
            <w:pPr>
              <w:pStyle w:val="Tabelleninhalt"/>
              <w:suppressLineNumbers/>
              <w:jc w:val="left"/>
              <w:rPr>
                <w:sz w:val="22"/>
              </w:rPr>
            </w:pPr>
            <w:r>
              <w:rPr>
                <w:sz w:val="22"/>
              </w:rPr>
              <w:t>MSLA ohne Harz</w:t>
            </w:r>
          </w:p>
        </w:tc>
        <w:tc>
          <w:tcPr>
            <w:tcW w:w="2496" w:type="dxa"/>
            <w:tcBorders/>
            <w:vAlign w:val="center"/>
          </w:tcPr>
          <w:p>
            <w:pPr>
              <w:pStyle w:val="Tabelleninhalt"/>
              <w:suppressLineNumbers/>
              <w:jc w:val="left"/>
              <w:rPr>
                <w:sz w:val="22"/>
              </w:rPr>
            </w:pPr>
            <w:r>
              <w:rPr>
                <w:sz w:val="22"/>
              </w:rPr>
              <w:t>1.35 CHF/h</w:t>
            </w:r>
          </w:p>
        </w:tc>
        <w:tc>
          <w:tcPr>
            <w:tcW w:w="2316" w:type="dxa"/>
            <w:tcBorders/>
            <w:vAlign w:val="center"/>
          </w:tcPr>
          <w:p>
            <w:pPr>
              <w:pStyle w:val="Tabelleninhalt"/>
              <w:suppressLineNumbers/>
              <w:jc w:val="left"/>
              <w:rPr>
                <w:sz w:val="22"/>
              </w:rPr>
            </w:pPr>
            <w:r>
              <w:rPr>
                <w:sz w:val="22"/>
              </w:rPr>
              <w:t>1.85 CHF/h</w:t>
            </w:r>
          </w:p>
        </w:tc>
        <w:tc>
          <w:tcPr>
            <w:tcW w:w="2328" w:type="dxa"/>
            <w:tcBorders/>
            <w:vAlign w:val="center"/>
          </w:tcPr>
          <w:p>
            <w:pPr>
              <w:pStyle w:val="Tabelleninhalt"/>
              <w:suppressLineNumbers/>
              <w:jc w:val="left"/>
              <w:rPr>
                <w:sz w:val="22"/>
              </w:rPr>
            </w:pPr>
            <w:r>
              <w:rPr>
                <w:sz w:val="22"/>
              </w:rPr>
              <w:t>2.85 CHF/h</w:t>
            </w:r>
          </w:p>
        </w:tc>
        <w:tc>
          <w:tcPr>
            <w:tcW w:w="168" w:type="dxa"/>
            <w:tcBorders/>
          </w:tcPr>
          <w:p>
            <w:pPr>
              <w:pStyle w:val="Tabelleninhalt"/>
              <w:jc w:val="left"/>
              <w:rPr>
                <w:sz w:val="4"/>
                <w:szCs w:val="4"/>
              </w:rPr>
            </w:pPr>
            <w:r>
              <w:rPr>
                <w:sz w:val="4"/>
                <w:szCs w:val="4"/>
              </w:rPr>
            </w:r>
          </w:p>
        </w:tc>
      </w:tr>
      <w:tr>
        <w:trPr/>
        <w:tc>
          <w:tcPr>
            <w:tcW w:w="10428" w:type="dxa"/>
            <w:gridSpan w:val="5"/>
            <w:tcBorders/>
            <w:vAlign w:val="center"/>
          </w:tcPr>
          <w:p>
            <w:pPr>
              <w:pStyle w:val="Tabelleninhalt"/>
              <w:suppressLineNumbers/>
              <w:jc w:val="left"/>
              <w:rPr>
                <w:sz w:val="22"/>
              </w:rPr>
            </w:pPr>
            <w:r>
              <w:rPr>
                <w:rStyle w:val="Starkbetont"/>
                <w:sz w:val="22"/>
              </w:rPr>
              <w:t>CNC-Fräsen</w:t>
            </w:r>
          </w:p>
        </w:tc>
      </w:tr>
      <w:tr>
        <w:trPr/>
        <w:tc>
          <w:tcPr>
            <w:tcW w:w="3120" w:type="dxa"/>
            <w:tcBorders/>
            <w:vAlign w:val="center"/>
          </w:tcPr>
          <w:p>
            <w:pPr>
              <w:pStyle w:val="Tabelleninhalt"/>
              <w:suppressLineNumbers/>
              <w:jc w:val="left"/>
              <w:rPr>
                <w:sz w:val="22"/>
              </w:rPr>
            </w:pPr>
            <w:r>
              <w:rPr>
                <w:sz w:val="22"/>
              </w:rPr>
              <w:t>Portalfräse</w:t>
            </w:r>
          </w:p>
        </w:tc>
        <w:tc>
          <w:tcPr>
            <w:tcW w:w="2496" w:type="dxa"/>
            <w:tcBorders/>
            <w:vAlign w:val="center"/>
          </w:tcPr>
          <w:p>
            <w:pPr>
              <w:pStyle w:val="Tabelleninhalt"/>
              <w:suppressLineNumbers/>
              <w:jc w:val="left"/>
              <w:rPr>
                <w:sz w:val="22"/>
              </w:rPr>
            </w:pPr>
            <w:r>
              <w:rPr>
                <w:sz w:val="22"/>
              </w:rPr>
              <w:t>7.50 CHF/h</w:t>
            </w:r>
          </w:p>
        </w:tc>
        <w:tc>
          <w:tcPr>
            <w:tcW w:w="2316" w:type="dxa"/>
            <w:tcBorders/>
            <w:vAlign w:val="center"/>
          </w:tcPr>
          <w:p>
            <w:pPr>
              <w:pStyle w:val="Tabelleninhalt"/>
              <w:suppressLineNumbers/>
              <w:jc w:val="left"/>
              <w:rPr>
                <w:sz w:val="22"/>
              </w:rPr>
            </w:pPr>
            <w:r>
              <w:rPr>
                <w:sz w:val="22"/>
              </w:rPr>
              <w:t>10.00 CHF/h</w:t>
            </w:r>
          </w:p>
        </w:tc>
        <w:tc>
          <w:tcPr>
            <w:tcW w:w="2328" w:type="dxa"/>
            <w:tcBorders/>
            <w:vAlign w:val="center"/>
          </w:tcPr>
          <w:p>
            <w:pPr>
              <w:pStyle w:val="Tabelleninhalt"/>
              <w:suppressLineNumbers/>
              <w:jc w:val="left"/>
              <w:rPr>
                <w:sz w:val="22"/>
              </w:rPr>
            </w:pPr>
            <w:r>
              <w:rPr>
                <w:sz w:val="22"/>
              </w:rPr>
              <w:t>15.00 CHF/h</w:t>
            </w:r>
          </w:p>
        </w:tc>
        <w:tc>
          <w:tcPr>
            <w:tcW w:w="168" w:type="dxa"/>
            <w:tcBorders/>
          </w:tcPr>
          <w:p>
            <w:pPr>
              <w:pStyle w:val="Tabelleninhalt"/>
              <w:jc w:val="left"/>
              <w:rPr>
                <w:sz w:val="4"/>
                <w:szCs w:val="4"/>
              </w:rPr>
            </w:pPr>
            <w:r>
              <w:rPr>
                <w:sz w:val="4"/>
                <w:szCs w:val="4"/>
              </w:rPr>
            </w:r>
          </w:p>
        </w:tc>
      </w:tr>
      <w:tr>
        <w:trPr/>
        <w:tc>
          <w:tcPr>
            <w:tcW w:w="3120" w:type="dxa"/>
            <w:tcBorders/>
            <w:vAlign w:val="center"/>
          </w:tcPr>
          <w:p>
            <w:pPr>
              <w:pStyle w:val="Tabelleninhalt"/>
              <w:suppressLineNumbers/>
              <w:jc w:val="left"/>
              <w:rPr>
                <w:sz w:val="22"/>
              </w:rPr>
            </w:pPr>
            <w:r>
              <w:rPr>
                <w:sz w:val="22"/>
              </w:rPr>
              <w:t>5D-Axismaker</w:t>
            </w:r>
          </w:p>
        </w:tc>
        <w:tc>
          <w:tcPr>
            <w:tcW w:w="2496" w:type="dxa"/>
            <w:tcBorders/>
            <w:vAlign w:val="center"/>
          </w:tcPr>
          <w:p>
            <w:pPr>
              <w:pStyle w:val="Tabelleninhalt"/>
              <w:suppressLineNumbers/>
              <w:jc w:val="left"/>
              <w:rPr>
                <w:sz w:val="22"/>
              </w:rPr>
            </w:pPr>
            <w:r>
              <w:rPr>
                <w:sz w:val="22"/>
              </w:rPr>
              <w:t>7.50 CHF/h</w:t>
            </w:r>
          </w:p>
        </w:tc>
        <w:tc>
          <w:tcPr>
            <w:tcW w:w="2316" w:type="dxa"/>
            <w:tcBorders/>
            <w:vAlign w:val="center"/>
          </w:tcPr>
          <w:p>
            <w:pPr>
              <w:pStyle w:val="Tabelleninhalt"/>
              <w:suppressLineNumbers/>
              <w:jc w:val="left"/>
              <w:rPr>
                <w:sz w:val="22"/>
              </w:rPr>
            </w:pPr>
            <w:r>
              <w:rPr>
                <w:sz w:val="22"/>
              </w:rPr>
              <w:t>10.00 CHF/h</w:t>
            </w:r>
          </w:p>
        </w:tc>
        <w:tc>
          <w:tcPr>
            <w:tcW w:w="2328" w:type="dxa"/>
            <w:tcBorders/>
            <w:vAlign w:val="center"/>
          </w:tcPr>
          <w:p>
            <w:pPr>
              <w:pStyle w:val="Tabelleninhalt"/>
              <w:suppressLineNumbers/>
              <w:jc w:val="left"/>
              <w:rPr>
                <w:sz w:val="22"/>
              </w:rPr>
            </w:pPr>
            <w:r>
              <w:rPr>
                <w:sz w:val="22"/>
              </w:rPr>
              <w:t>15.00 CHF/h</w:t>
            </w:r>
          </w:p>
        </w:tc>
        <w:tc>
          <w:tcPr>
            <w:tcW w:w="168" w:type="dxa"/>
            <w:tcBorders/>
          </w:tcPr>
          <w:p>
            <w:pPr>
              <w:pStyle w:val="Tabelleninhalt"/>
              <w:jc w:val="left"/>
              <w:rPr>
                <w:sz w:val="4"/>
                <w:szCs w:val="4"/>
              </w:rPr>
            </w:pPr>
            <w:r>
              <w:rPr>
                <w:sz w:val="4"/>
                <w:szCs w:val="4"/>
              </w:rPr>
            </w:r>
          </w:p>
        </w:tc>
      </w:tr>
      <w:tr>
        <w:trPr/>
        <w:tc>
          <w:tcPr>
            <w:tcW w:w="3120" w:type="dxa"/>
            <w:tcBorders/>
            <w:vAlign w:val="center"/>
          </w:tcPr>
          <w:p>
            <w:pPr>
              <w:pStyle w:val="Tabelleninhalt"/>
              <w:suppressLineNumbers/>
              <w:jc w:val="left"/>
              <w:rPr>
                <w:sz w:val="22"/>
              </w:rPr>
            </w:pPr>
            <w:r>
              <w:rPr>
                <w:rStyle w:val="Starkbetont"/>
                <w:sz w:val="22"/>
              </w:rPr>
              <w:t xml:space="preserve">Schneideplotter inkl. </w:t>
              <w:br/>
              <w:t>T-Shirtpresse</w:t>
            </w:r>
          </w:p>
        </w:tc>
        <w:tc>
          <w:tcPr>
            <w:tcW w:w="2496" w:type="dxa"/>
            <w:tcBorders/>
            <w:vAlign w:val="center"/>
          </w:tcPr>
          <w:p>
            <w:pPr>
              <w:pStyle w:val="Tabelleninhalt"/>
              <w:suppressLineNumbers/>
              <w:jc w:val="left"/>
              <w:rPr>
                <w:sz w:val="22"/>
              </w:rPr>
            </w:pPr>
            <w:r>
              <w:rPr>
                <w:sz w:val="22"/>
              </w:rPr>
              <w:t>5.00 CHF/h</w:t>
            </w:r>
          </w:p>
        </w:tc>
        <w:tc>
          <w:tcPr>
            <w:tcW w:w="2316" w:type="dxa"/>
            <w:tcBorders/>
            <w:vAlign w:val="center"/>
          </w:tcPr>
          <w:p>
            <w:pPr>
              <w:pStyle w:val="Tabelleninhalt"/>
              <w:suppressLineNumbers/>
              <w:jc w:val="left"/>
              <w:rPr>
                <w:sz w:val="22"/>
              </w:rPr>
            </w:pPr>
            <w:r>
              <w:rPr>
                <w:sz w:val="22"/>
              </w:rPr>
              <w:t>8.00 CHF/h</w:t>
            </w:r>
          </w:p>
        </w:tc>
        <w:tc>
          <w:tcPr>
            <w:tcW w:w="2328" w:type="dxa"/>
            <w:tcBorders/>
            <w:vAlign w:val="center"/>
          </w:tcPr>
          <w:p>
            <w:pPr>
              <w:pStyle w:val="Tabelleninhalt"/>
              <w:suppressLineNumbers/>
              <w:jc w:val="left"/>
              <w:rPr>
                <w:sz w:val="22"/>
              </w:rPr>
            </w:pPr>
            <w:r>
              <w:rPr>
                <w:sz w:val="22"/>
              </w:rPr>
              <w:t>12.00 CHF/h</w:t>
            </w:r>
          </w:p>
        </w:tc>
        <w:tc>
          <w:tcPr>
            <w:tcW w:w="168" w:type="dxa"/>
            <w:tcBorders/>
          </w:tcPr>
          <w:p>
            <w:pPr>
              <w:pStyle w:val="Tabelleninhalt"/>
              <w:jc w:val="lef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p>
            <w:pPr>
              <w:pStyle w:val="Tabelleninhalt"/>
              <w:rPr>
                <w:sz w:val="4"/>
                <w:szCs w:val="4"/>
              </w:rPr>
            </w:pPr>
            <w:r>
              <w:rPr>
                <w:sz w:val="4"/>
                <w:szCs w:val="4"/>
              </w:rPr>
            </w:r>
          </w:p>
        </w:tc>
      </w:tr>
      <w:tr>
        <w:trPr/>
        <w:tc>
          <w:tcPr>
            <w:tcW w:w="3120" w:type="dxa"/>
            <w:tcBorders/>
            <w:vAlign w:val="center"/>
          </w:tcPr>
          <w:p>
            <w:pPr>
              <w:pStyle w:val="Tabelleninhalt"/>
              <w:suppressLineNumbers/>
              <w:jc w:val="left"/>
              <w:rPr>
                <w:sz w:val="22"/>
              </w:rPr>
            </w:pPr>
            <w:r>
              <w:rPr>
                <w:rStyle w:val="Starkbetont"/>
                <w:sz w:val="22"/>
              </w:rPr>
              <w:t>Laser-Schneider</w:t>
            </w:r>
          </w:p>
        </w:tc>
        <w:tc>
          <w:tcPr>
            <w:tcW w:w="2496" w:type="dxa"/>
            <w:tcBorders/>
            <w:vAlign w:val="center"/>
          </w:tcPr>
          <w:p>
            <w:pPr>
              <w:pStyle w:val="Tabelleninhalt"/>
              <w:suppressLineNumbers/>
              <w:jc w:val="left"/>
              <w:rPr>
                <w:sz w:val="22"/>
              </w:rPr>
            </w:pPr>
            <w:r>
              <w:rPr>
                <w:sz w:val="22"/>
              </w:rPr>
              <w:t>3.00 CHF/h</w:t>
            </w:r>
          </w:p>
        </w:tc>
        <w:tc>
          <w:tcPr>
            <w:tcW w:w="2316" w:type="dxa"/>
            <w:tcBorders/>
            <w:vAlign w:val="center"/>
          </w:tcPr>
          <w:p>
            <w:pPr>
              <w:pStyle w:val="Tabelleninhalt"/>
              <w:suppressLineNumbers/>
              <w:jc w:val="left"/>
              <w:rPr>
                <w:sz w:val="22"/>
              </w:rPr>
            </w:pPr>
            <w:r>
              <w:rPr>
                <w:sz w:val="22"/>
              </w:rPr>
              <w:t>4.00 CHF/h</w:t>
            </w:r>
          </w:p>
        </w:tc>
        <w:tc>
          <w:tcPr>
            <w:tcW w:w="2328" w:type="dxa"/>
            <w:tcBorders/>
            <w:vAlign w:val="center"/>
          </w:tcPr>
          <w:p>
            <w:pPr>
              <w:pStyle w:val="Tabelleninhalt"/>
              <w:suppressLineNumbers/>
              <w:jc w:val="left"/>
              <w:rPr>
                <w:sz w:val="22"/>
              </w:rPr>
            </w:pPr>
            <w:r>
              <w:rPr>
                <w:sz w:val="22"/>
              </w:rPr>
              <w:t>6.00 CHF/h</w:t>
            </w:r>
          </w:p>
        </w:tc>
        <w:tc>
          <w:tcPr>
            <w:tcW w:w="168" w:type="dxa"/>
            <w:tcBorders/>
          </w:tcPr>
          <w:p>
            <w:pPr>
              <w:pStyle w:val="Tabelleninhalt"/>
              <w:jc w:val="left"/>
              <w:rPr>
                <w:sz w:val="4"/>
                <w:szCs w:val="4"/>
              </w:rPr>
            </w:pPr>
            <w:r>
              <w:rPr>
                <w:sz w:val="4"/>
                <w:szCs w:val="4"/>
              </w:rPr>
            </w:r>
          </w:p>
        </w:tc>
      </w:tr>
    </w:tbl>
    <w:p>
      <w:pPr>
        <w:pStyle w:val="Normal"/>
        <w:spacing w:beforeAutospacing="0" w:before="113" w:after="0"/>
        <w:jc w:val="left"/>
        <w:rPr>
          <w:rFonts w:ascii="Arial" w:hAnsi="Arial" w:eastAsia="Arial" w:cs="Arial"/>
          <w:i/>
          <w:i/>
          <w:sz w:val="18"/>
        </w:rPr>
      </w:pPr>
      <w:r>
        <w:rPr>
          <w:rFonts w:eastAsia="Arial" w:cs="Arial" w:ascii="Arial" w:hAnsi="Arial"/>
          <w:i/>
          <w:sz w:val="18"/>
        </w:rPr>
        <w:t xml:space="preserve">Die Gebühren wurden letztmalig am Plenum vom 1. </w:t>
      </w:r>
      <w:r>
        <w:rPr>
          <w:rFonts w:eastAsia="Arial" w:cs="Arial" w:ascii="Arial" w:hAnsi="Arial"/>
          <w:i/>
          <w:color w:val="auto"/>
          <w:sz w:val="18"/>
          <w:szCs w:val="24"/>
          <w:lang w:val="de-CH" w:eastAsia="zh-CN" w:bidi="hi-IN"/>
        </w:rPr>
        <w:t xml:space="preserve">Juni </w:t>
      </w:r>
      <w:r>
        <w:rPr>
          <w:rFonts w:eastAsia="Arial" w:cs="Arial" w:ascii="Arial" w:hAnsi="Arial"/>
          <w:i/>
          <w:sz w:val="18"/>
        </w:rPr>
        <w:t>2021 festgelegt.</w:t>
      </w:r>
    </w:p>
    <w:sectPr>
      <w:type w:val="continuous"/>
      <w:pgSz w:w="11906" w:h="16838"/>
      <w:pgMar w:left="720" w:right="720" w:header="0" w:top="425" w:footer="709" w:bottom="1176"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krper"/>
      <w:spacing w:before="0" w:after="200"/>
      <w:jc w:val="right"/>
      <w:rPr>
        <w:sz w:val="20"/>
      </w:rPr>
    </w:pPr>
    <w:r>
      <w:rPr>
        <w:i/>
        <w:color w:val="000000"/>
        <w:sz w:val="18"/>
      </w:rPr>
      <w:t xml:space="preserve">Zuletzt aktualisiert am </w:t>
    </w:r>
    <w:r>
      <w:rPr>
        <w:rFonts w:eastAsia="Noto Serif CJK SC" w:cs="Lohit Devanagari"/>
        <w:i/>
        <w:color w:val="000000"/>
        <w:sz w:val="18"/>
        <w:szCs w:val="24"/>
        <w:lang w:val="de-CH" w:eastAsia="zh-CN" w:bidi="hi-IN"/>
      </w:rPr>
      <w:t>9</w:t>
    </w:r>
    <w:r>
      <w:rPr>
        <w:i/>
        <w:color w:val="000000"/>
        <w:sz w:val="18"/>
      </w:rPr>
      <w:t xml:space="preserve">. </w:t>
    </w:r>
    <w:r>
      <w:rPr>
        <w:rFonts w:eastAsia="Noto Serif CJK SC" w:cs="Lohit Devanagari"/>
        <w:i/>
        <w:color w:val="000000"/>
        <w:sz w:val="18"/>
        <w:szCs w:val="24"/>
        <w:lang w:val="de-CH" w:eastAsia="zh-CN" w:bidi="hi-IN"/>
      </w:rPr>
      <w:t>Juli</w:t>
    </w:r>
    <w:r>
      <w:rPr>
        <w:i/>
        <w:color w:val="000000"/>
        <w:sz w:val="18"/>
      </w:rPr>
      <w:t xml:space="preserve"> 2021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de-CH"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oto Serif CJK SC" w:cs="Lohit Devanagari"/>
      <w:color w:val="auto"/>
      <w:kern w:val="0"/>
      <w:sz w:val="24"/>
      <w:szCs w:val="24"/>
      <w:lang w:val="de-CH" w:eastAsia="zh-CN" w:bidi="hi-IN"/>
    </w:rPr>
  </w:style>
  <w:style w:type="paragraph" w:styleId="Berschrift1">
    <w:name w:val="Heading 1"/>
    <w:basedOn w:val="Berschrift"/>
    <w:qFormat/>
    <w:pPr>
      <w:numPr>
        <w:ilvl w:val="0"/>
        <w:numId w:val="1"/>
      </w:numPr>
      <w:spacing w:before="482" w:after="198"/>
      <w:outlineLvl w:val="0"/>
    </w:pPr>
    <w:rPr>
      <w:rFonts w:ascii="Arial" w:hAnsi="Arial"/>
      <w:b w:val="false"/>
      <w:bCs/>
      <w:sz w:val="40"/>
      <w:szCs w:val="36"/>
    </w:rPr>
  </w:style>
  <w:style w:type="paragraph" w:styleId="Berschrift2">
    <w:name w:val="Heading 2"/>
    <w:basedOn w:val="Berschrift"/>
    <w:qFormat/>
    <w:pPr>
      <w:numPr>
        <w:ilvl w:val="1"/>
        <w:numId w:val="1"/>
      </w:numPr>
      <w:spacing w:before="200" w:after="120"/>
      <w:outlineLvl w:val="1"/>
    </w:pPr>
    <w:rPr>
      <w:rFonts w:ascii="Arial" w:hAnsi="Arial"/>
      <w:b w:val="false"/>
      <w:bCs/>
      <w:sz w:val="34"/>
      <w:szCs w:val="32"/>
    </w:rPr>
  </w:style>
  <w:style w:type="paragraph" w:styleId="Berschrift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441"/>
    <w:uiPriority w:val="9"/>
    <w:qFormat/>
    <w:rPr>
      <w:rFonts w:ascii="Arial" w:hAnsi="Arial" w:eastAsia="Arial" w:cs="Arial"/>
      <w:sz w:val="40"/>
      <w:szCs w:val="40"/>
    </w:rPr>
  </w:style>
  <w:style w:type="character" w:styleId="Heading2Char">
    <w:name w:val="Heading 2 Char"/>
    <w:link w:val="442"/>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455"/>
    <w:uiPriority w:val="99"/>
    <w:qFormat/>
    <w:rPr/>
  </w:style>
  <w:style w:type="character" w:styleId="CaptionChar">
    <w:name w:val="Caption Char"/>
    <w:link w:val="455"/>
    <w:uiPriority w:val="99"/>
    <w:qFormat/>
    <w:rPr/>
  </w:style>
  <w:style w:type="character" w:styleId="Internetverknpfung">
    <w:name w:val="Internetverknüpfung"/>
    <w:uiPriority w:val="99"/>
    <w:unhideWhenUsed/>
    <w:rPr>
      <w:color w:val="0000FF" w:themeColor="hyperlink"/>
      <w:u w:val="single"/>
    </w:rPr>
  </w:style>
  <w:style w:type="character" w:styleId="FootnoteTextChar">
    <w:name w:val="Footnote Text Char"/>
    <w:link w:val="453"/>
    <w:uiPriority w:val="99"/>
    <w:qFormat/>
    <w:rPr>
      <w:sz w:val="18"/>
    </w:rPr>
  </w:style>
  <w:style w:type="character" w:styleId="Funotenanker">
    <w:name w:val="Fußnotenanker"/>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Endnotenanker">
    <w:name w:val="Endnotenanker"/>
    <w:rPr>
      <w:vertAlign w:val="superscript"/>
    </w:rPr>
  </w:style>
  <w:style w:type="character" w:styleId="EndnoteCharacters">
    <w:name w:val="Endnote Characters"/>
    <w:uiPriority w:val="99"/>
    <w:semiHidden/>
    <w:unhideWhenUsed/>
    <w:qFormat/>
    <w:rPr>
      <w:vertAlign w:val="superscript"/>
    </w:rPr>
  </w:style>
  <w:style w:type="character" w:styleId="Funotenzeichen">
    <w:name w:val="Fußnotenzeichen"/>
    <w:qFormat/>
    <w:rPr/>
  </w:style>
  <w:style w:type="character" w:styleId="Nummerierungszeichen">
    <w:name w:val="Nummerierungszeichen"/>
    <w:qFormat/>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rFonts w:ascii="Arial" w:hAnsi="Arial"/>
      <w:sz w:val="22"/>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Liberation Serif" w:hAnsi="Liberation Serif" w:eastAsia="Noto Serif CJK SC" w:cs="Lohit Devanagari"/>
      <w:color w:val="auto"/>
      <w:kern w:val="0"/>
      <w:sz w:val="24"/>
      <w:szCs w:val="24"/>
      <w:lang w:val="de-CH" w:eastAsia="zh-CN" w:bidi="hi-IN"/>
    </w:rPr>
  </w:style>
  <w:style w:type="paragraph" w:styleId="Titel">
    <w:name w:val="Title"/>
    <w:basedOn w:val="Normal"/>
    <w:link w:val="33"/>
    <w:uiPriority w:val="10"/>
    <w:qFormat/>
    <w:pPr>
      <w:spacing w:before="300" w:after="200"/>
      <w:contextualSpacing/>
    </w:pPr>
    <w:rPr>
      <w:sz w:val="48"/>
      <w:szCs w:val="48"/>
    </w:rPr>
  </w:style>
  <w:style w:type="paragraph" w:styleId="Untertitel">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0"/>
      <w:ind w:left="720" w:right="720" w:hanging="0"/>
    </w:pPr>
    <w:rPr>
      <w:i/>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link w:val="41"/>
    <w:uiPriority w:val="99"/>
    <w:unhideWhenUsed/>
    <w:pPr>
      <w:tabs>
        <w:tab w:val="clear" w:pos="709"/>
        <w:tab w:val="center" w:pos="7143" w:leader="none"/>
        <w:tab w:val="right" w:pos="14287" w:leader="none"/>
      </w:tabs>
      <w:spacing w:lineRule="auto" w:line="240" w:before="0" w:after="0"/>
    </w:pPr>
    <w:rPr/>
  </w:style>
  <w:style w:type="paragraph" w:styleId="Endnote">
    <w:name w:val="Endnote Text"/>
    <w:basedOn w:val="Normal"/>
    <w:link w:val="177"/>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Liberation Serif" w:hAnsi="Liberation Serif" w:eastAsia="Noto Serif CJK SC" w:cs="Lohit Devanagari"/>
      <w:color w:val="auto"/>
      <w:kern w:val="0"/>
      <w:sz w:val="24"/>
      <w:szCs w:val="24"/>
      <w:lang w:val="de-CH" w:eastAsia="zh-CN" w:bidi="hi-IN"/>
    </w:rPr>
  </w:style>
  <w:style w:type="paragraph" w:styleId="Funote">
    <w:name w:val="Footnote Text"/>
    <w:basedOn w:val="Normal"/>
    <w:pPr>
      <w:suppressLineNumbers/>
      <w:ind w:left="339" w:hanging="339"/>
    </w:pPr>
    <w:rPr>
      <w:sz w:val="20"/>
      <w:szCs w:val="20"/>
    </w:rPr>
  </w:style>
  <w:style w:type="paragraph" w:styleId="Fuzeile">
    <w:name w:val="Footer"/>
    <w:basedOn w:val="KopfundFuzeile"/>
    <w:pPr>
      <w:suppressLineNumbers/>
    </w:pPr>
    <w:rPr/>
  </w:style>
  <w:style w:type="paragraph" w:styleId="Tabelleninhalt">
    <w:name w:val="Tabelleninhalt"/>
    <w:basedOn w:val="Normal"/>
    <w:qFormat/>
    <w:pPr>
      <w:suppressLineNumbers/>
    </w:pPr>
    <w:rPr>
      <w:rFonts w:ascii="Arial" w:hAnsi="Arial"/>
      <w:sz w:val="20"/>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1</Pages>
  <Words>333</Words>
  <Characters>2120</Characters>
  <CharactersWithSpaces>2406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2021-06-28T21:58:28Z</dcterms:created>
  <dc:creator/>
  <dc:description/>
  <dc:language>de-CH</dc:language>
  <cp:lastModifiedBy/>
  <dcterms:modified xsi:type="dcterms:W3CDTF">2021-07-09T22:03:33Z</dcterms:modified>
  <cp:revision>27</cp:revision>
  <dc:subject/>
  <dc:title/>
</cp:coreProperties>
</file>